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EBA4" w14:textId="77777777" w:rsidR="00ED2550" w:rsidRDefault="005214BA">
      <w:r>
        <w:t>Clifton Board of Education</w:t>
      </w:r>
    </w:p>
    <w:p w14:paraId="38E5B57D" w14:textId="77777777" w:rsidR="005214BA" w:rsidRDefault="005214BA">
      <w:r>
        <w:t>Information submitted to the New Jersey General Assembly Education Committee</w:t>
      </w:r>
    </w:p>
    <w:p w14:paraId="5F705E1D" w14:textId="77777777" w:rsidR="005214BA" w:rsidRDefault="005214BA">
      <w:r>
        <w:t>February 1, 2017</w:t>
      </w:r>
    </w:p>
    <w:p w14:paraId="74D77957" w14:textId="77777777" w:rsidR="005214BA" w:rsidRDefault="005214BA"/>
    <w:p w14:paraId="0956F3A6" w14:textId="77777777" w:rsidR="005214BA" w:rsidRDefault="005214BA">
      <w:r>
        <w:t>Resolution of the Clifton Board of Education dated January 31, 2017</w:t>
      </w:r>
    </w:p>
    <w:p w14:paraId="67CDD04A" w14:textId="77777777" w:rsidR="00E4171F" w:rsidRDefault="00E4171F"/>
    <w:p w14:paraId="5DBC8E6F" w14:textId="77777777" w:rsidR="00E4171F" w:rsidRDefault="00E4171F">
      <w:pPr>
        <w:rPr>
          <w:b/>
          <w:u w:val="single"/>
        </w:rPr>
      </w:pPr>
      <w:r w:rsidRPr="00E4171F">
        <w:rPr>
          <w:b/>
          <w:u w:val="single"/>
        </w:rPr>
        <w:t>F-1/31/17-17 – Approval to the Petition for the Board of Education’s Equitable Share of State Education Aid (see attachment)</w:t>
      </w:r>
    </w:p>
    <w:p w14:paraId="25B11337" w14:textId="77777777" w:rsidR="00E4171F" w:rsidRDefault="00E4171F">
      <w:pPr>
        <w:rPr>
          <w:b/>
          <w:u w:val="single"/>
        </w:rPr>
      </w:pPr>
    </w:p>
    <w:p w14:paraId="1154EEB0" w14:textId="24C04776" w:rsidR="002F008F" w:rsidRDefault="002F008F" w:rsidP="002F008F">
      <w:pPr>
        <w:ind w:left="720" w:firstLine="720"/>
      </w:pPr>
      <w:r>
        <w:t>WHEREAS, the Finance Committee of the Clifton Board of Education has commenced discussions with the administration of this Board of Education in preparing the 2017-2018 budge</w:t>
      </w:r>
      <w:r w:rsidR="00A57C2F">
        <w:t>t for the Clifton District; and</w:t>
      </w:r>
    </w:p>
    <w:p w14:paraId="61C02E62" w14:textId="77777777" w:rsidR="00A57C2F" w:rsidRDefault="00A57C2F" w:rsidP="002F008F">
      <w:pPr>
        <w:ind w:left="720" w:firstLine="720"/>
      </w:pPr>
    </w:p>
    <w:p w14:paraId="02559D93" w14:textId="36874681" w:rsidR="002F008F" w:rsidRDefault="002F008F" w:rsidP="002F008F">
      <w:pPr>
        <w:ind w:left="720" w:firstLine="720"/>
      </w:pPr>
      <w:r>
        <w:t>WHEREAS, the Finance Committee and the Administration has reached a consensus that the projected revenues for the 2017-2018 budget will not likely be sufficient to maintain the status quo for the level of services provided</w:t>
      </w:r>
      <w:r w:rsidR="00A57C2F">
        <w:t xml:space="preserve"> for in the current budget; and</w:t>
      </w:r>
    </w:p>
    <w:p w14:paraId="415A0BE6" w14:textId="77777777" w:rsidR="00A57C2F" w:rsidRDefault="00A57C2F" w:rsidP="002F008F">
      <w:pPr>
        <w:ind w:left="720" w:firstLine="720"/>
      </w:pPr>
    </w:p>
    <w:p w14:paraId="298AB665" w14:textId="69865AE1" w:rsidR="002F008F" w:rsidRDefault="002F008F" w:rsidP="002F008F">
      <w:pPr>
        <w:ind w:left="720" w:firstLine="720"/>
      </w:pPr>
      <w:r>
        <w:t>WHEREAS, the percentage increases in revenues are less than the leve</w:t>
      </w:r>
      <w:r w:rsidR="00A57C2F">
        <w:t>l of increases to expenses; and</w:t>
      </w:r>
    </w:p>
    <w:p w14:paraId="2479A39C" w14:textId="77777777" w:rsidR="00A57C2F" w:rsidRDefault="00A57C2F" w:rsidP="002F008F">
      <w:pPr>
        <w:ind w:left="720" w:firstLine="720"/>
      </w:pPr>
    </w:p>
    <w:p w14:paraId="68BD6F0B" w14:textId="77777777" w:rsidR="00A57C2F" w:rsidRDefault="002F008F" w:rsidP="00A57C2F">
      <w:pPr>
        <w:ind w:left="720" w:firstLine="720"/>
      </w:pPr>
      <w:r>
        <w:t>WHEREAS, the Finance Committee feels it is imperative that funding to maintain the current educational standards and programs are of the highest priority for the Clifton District; and</w:t>
      </w:r>
    </w:p>
    <w:p w14:paraId="62596751" w14:textId="77777777" w:rsidR="00A57C2F" w:rsidRDefault="00A57C2F" w:rsidP="00A57C2F">
      <w:pPr>
        <w:ind w:left="720" w:firstLine="720"/>
      </w:pPr>
    </w:p>
    <w:p w14:paraId="2B2E0E7E" w14:textId="46E49E36" w:rsidR="00A57C2F" w:rsidRDefault="00A57C2F" w:rsidP="00A57C2F">
      <w:pPr>
        <w:ind w:left="720" w:firstLine="720"/>
      </w:pPr>
      <w:r>
        <w:t>WHEREAS, the Finance Committee believes that responsibility for the short fall of funding lies clearly with the Governor and the State Legislature; and</w:t>
      </w:r>
    </w:p>
    <w:p w14:paraId="3D6E2DEC" w14:textId="77777777" w:rsidR="00A57C2F" w:rsidRDefault="00A57C2F" w:rsidP="00A57C2F">
      <w:pPr>
        <w:ind w:left="720" w:firstLine="720"/>
      </w:pPr>
    </w:p>
    <w:p w14:paraId="20EEC314" w14:textId="2F00EB60" w:rsidR="00A57C2F" w:rsidRDefault="00A57C2F" w:rsidP="00A57C2F">
      <w:pPr>
        <w:ind w:left="720" w:firstLine="720"/>
      </w:pPr>
      <w:r>
        <w:t xml:space="preserve">WHEREAS, the Finance Committee of the Clifton Board of Education has presented this District's Board of Education with a statement noting these circumstances and further noting that the New Jersey Department of Education under funds the Clifton School District </w:t>
      </w:r>
      <w:proofErr w:type="gramStart"/>
      <w:r>
        <w:t>in excess of</w:t>
      </w:r>
      <w:proofErr w:type="gramEnd"/>
      <w:r>
        <w:t xml:space="preserve"> $50 million annually; and</w:t>
      </w:r>
    </w:p>
    <w:p w14:paraId="60C2DF64" w14:textId="77777777" w:rsidR="00A57C2F" w:rsidRDefault="00A57C2F" w:rsidP="00A57C2F"/>
    <w:p w14:paraId="02BE9ECD" w14:textId="0EBC32B7" w:rsidR="00A57C2F" w:rsidRDefault="00A57C2F" w:rsidP="00A57C2F">
      <w:pPr>
        <w:ind w:left="720" w:firstLine="720"/>
      </w:pPr>
      <w:proofErr w:type="gramStart"/>
      <w:r>
        <w:t>THEREFORE</w:t>
      </w:r>
      <w:proofErr w:type="gramEnd"/>
      <w:r>
        <w:t xml:space="preserve"> BE IT RESOLVED, that the Clifton Board of Education adopts this resolution and corresponding statement of the Board's Finance Committee as a "Sense of Resolution" of the Clifton Board of Education; and</w:t>
      </w:r>
    </w:p>
    <w:p w14:paraId="68BF5211" w14:textId="77777777" w:rsidR="00A57C2F" w:rsidRDefault="00A57C2F" w:rsidP="00A57C2F"/>
    <w:p w14:paraId="0DCAD4DA" w14:textId="39547003" w:rsidR="00D76396" w:rsidRDefault="00A57C2F" w:rsidP="00D76396">
      <w:pPr>
        <w:ind w:left="720" w:firstLine="720"/>
      </w:pPr>
      <w:r>
        <w:t xml:space="preserve">THEREFORE, FURTHER BE IT RESOLVED, that this resolution and corresponding Finance Committee Statement be forwarded to the Governor of the State of New Jersey, the President of the New Jersey Senate and the Speaker of the New Jersey General Assembly, the representatives of the 34th Legislative District and the Commissioner of the New </w:t>
      </w:r>
      <w:r w:rsidR="00D76396">
        <w:t>Jersey Department of Education.</w:t>
      </w:r>
    </w:p>
    <w:p w14:paraId="47223B6B" w14:textId="77777777" w:rsidR="005214BA" w:rsidRDefault="005214BA"/>
    <w:p w14:paraId="074E6306" w14:textId="77777777" w:rsidR="005214BA" w:rsidRDefault="005214BA" w:rsidP="005214BA">
      <w:r>
        <w:t>Status Report – 2017 / 2018 Clifton Board of Education Budget Outlook</w:t>
      </w:r>
    </w:p>
    <w:p w14:paraId="653986EA" w14:textId="77777777" w:rsidR="005214BA" w:rsidRDefault="005214BA" w:rsidP="005214BA">
      <w:r>
        <w:t xml:space="preserve">Statement Issued by the Finance Committee of the Clifton Board of Education </w:t>
      </w:r>
    </w:p>
    <w:p w14:paraId="6AF99F83" w14:textId="77777777" w:rsidR="005214BA" w:rsidRDefault="005214BA" w:rsidP="005214BA"/>
    <w:p w14:paraId="056962FF" w14:textId="77777777" w:rsidR="005214BA" w:rsidRDefault="005214BA" w:rsidP="005214BA">
      <w:r>
        <w:lastRenderedPageBreak/>
        <w:t>The 2017 / 2018 Clifton Board of Education Budget must be adopted by a vote of the members of the Board by the beginning of May 2017. The process of putting this budget together was started by the administration in consultation with the Finance Committee of the Board in December of 2016.  Although much work still needs to be done on the expenditure side of the budget we anticipate that those expenditures will increase at a higher rate of growth then the anticipated increase in our revenues.</w:t>
      </w:r>
    </w:p>
    <w:p w14:paraId="37079499" w14:textId="77777777" w:rsidR="005214BA" w:rsidRDefault="005214BA" w:rsidP="005214BA"/>
    <w:p w14:paraId="38DC81C2" w14:textId="77777777" w:rsidR="005214BA" w:rsidRDefault="005214BA" w:rsidP="005214BA">
      <w:r>
        <w:t xml:space="preserve">Since the 2009 / 2010 budget, the annual increase in the tax levy to the tax payers of Clifton for education has been 2% or less for each of the last 8 budget years.  This approach was initiated before the state cap of 2% was imposed. Although in recent years the Board had the ability to raise the tax level higher than the 2% by the use of waivers, the Board has taken the position that 2% was to be held to in recognition of the unfair tax burden that our fellow tax payers currently bear. </w:t>
      </w:r>
    </w:p>
    <w:p w14:paraId="7E6AB096" w14:textId="77777777" w:rsidR="005214BA" w:rsidRDefault="005214BA" w:rsidP="005214BA"/>
    <w:p w14:paraId="5E0564C6" w14:textId="77777777" w:rsidR="005214BA" w:rsidRDefault="005214BA" w:rsidP="005214BA">
      <w:r>
        <w:t xml:space="preserve">Revenues from the state and federal sources are projected to remain flat which means our overall revenues will increase less than 2% while expenditures will grow greater than 2% if we are to maintain the status quo of what the Clifton Board of Education is called upon to pay for. </w:t>
      </w:r>
    </w:p>
    <w:p w14:paraId="0FF7EA8E" w14:textId="77777777" w:rsidR="005214BA" w:rsidRDefault="005214BA" w:rsidP="005214BA"/>
    <w:p w14:paraId="34EE0F45" w14:textId="77777777" w:rsidR="005214BA" w:rsidRDefault="005214BA" w:rsidP="005214BA">
      <w:r>
        <w:t xml:space="preserve">Historically the Clifton Board of Education has a long established record of maintaining high educational standards at one of the low costs per student of any district of its size in the State of New Jersey. Currently that number is approximately $13,000 per pupil. In the current budget, the administration needed to cut 24 certificated positions to have a balanced budget. This impacts the students we educate in our elementary, middle and high schools. We can no longer continue to sustain such cuts in personnel and maintain our educational standards. It is also equally unfair to have the tax payers of Clifton bear a greater financial burden than they already carry.  </w:t>
      </w:r>
    </w:p>
    <w:p w14:paraId="2BCCA10F" w14:textId="77777777" w:rsidR="005214BA" w:rsidRDefault="005214BA" w:rsidP="005214BA"/>
    <w:p w14:paraId="644B91DE" w14:textId="77777777" w:rsidR="005214BA" w:rsidRDefault="005214BA" w:rsidP="005214BA">
      <w:r>
        <w:t>The source of this crises lies squarely at the feet of the state legislature and the Governor. The Clifton Board of Education currently receives approximately $26.6 million in state aid per year and is short changed in excess of $50 million per year. We receive less than 35% of what the state formula says that we are entitled to, yet the state funds 88% of what the New Jersey Department of Education full funding formula calls. Many districts in the state receive more than 88% of their entitlement and it is even more astonishing there are a considerable number of districts that receive in excess of 100% of their entitlement. This is untenable situation for the Clifton District.</w:t>
      </w:r>
    </w:p>
    <w:p w14:paraId="4227CE2F" w14:textId="77777777" w:rsidR="005214BA" w:rsidRDefault="005214BA" w:rsidP="005214BA"/>
    <w:p w14:paraId="0C1DC76E" w14:textId="77777777" w:rsidR="005214BA" w:rsidRDefault="005214BA" w:rsidP="005214BA">
      <w:r>
        <w:t xml:space="preserve">The Finance Committee will recommend a budget to the entire Board that is frugal and responsible yet we are also committed to ensuring that our students receive the education they deserve while maintaining a 2% tax levy increase. Without receiving at least some of the funding that we are entitled to, the finance committee is prepared to make the necessary cuts to expenditures without impacting the staff responsible for educating our students and at the same time keeping our tax levy within the boundaries established over the last 8 budgets. </w:t>
      </w:r>
    </w:p>
    <w:p w14:paraId="6D787F14" w14:textId="77777777" w:rsidR="005214BA" w:rsidRDefault="005214BA" w:rsidP="005214BA"/>
    <w:p w14:paraId="42B02457" w14:textId="77777777" w:rsidR="005214BA" w:rsidRDefault="005214BA" w:rsidP="005214BA">
      <w:r>
        <w:t xml:space="preserve">The ball is clearly in the court of the legislature and executive branch of our state as to what course of action the Clifton Board of Education must take under these circumstances. We have continually fulfilled our obligation; the state must now fulfill theirs.    </w:t>
      </w:r>
    </w:p>
    <w:p w14:paraId="13BDC3FD" w14:textId="77777777" w:rsidR="00742C86" w:rsidRDefault="00742C86"/>
    <w:tbl>
      <w:tblPr>
        <w:tblW w:w="9435" w:type="dxa"/>
        <w:tblInd w:w="108" w:type="dxa"/>
        <w:tblLook w:val="04A0" w:firstRow="1" w:lastRow="0" w:firstColumn="1" w:lastColumn="0" w:noHBand="0" w:noVBand="1"/>
      </w:tblPr>
      <w:tblGrid>
        <w:gridCol w:w="3559"/>
        <w:gridCol w:w="1757"/>
        <w:gridCol w:w="1358"/>
        <w:gridCol w:w="1391"/>
        <w:gridCol w:w="1332"/>
        <w:gridCol w:w="38"/>
      </w:tblGrid>
      <w:tr w:rsidR="003B2E58" w:rsidRPr="003B2E58" w14:paraId="77EA1E5A" w14:textId="77777777" w:rsidTr="003B2E58">
        <w:trPr>
          <w:trHeight w:val="392"/>
        </w:trPr>
        <w:tc>
          <w:tcPr>
            <w:tcW w:w="9435" w:type="dxa"/>
            <w:gridSpan w:val="6"/>
            <w:tcBorders>
              <w:top w:val="single" w:sz="8" w:space="0" w:color="auto"/>
              <w:left w:val="single" w:sz="8" w:space="0" w:color="auto"/>
              <w:bottom w:val="single" w:sz="4" w:space="0" w:color="auto"/>
              <w:right w:val="single" w:sz="8" w:space="0" w:color="000000"/>
            </w:tcBorders>
            <w:shd w:val="clear" w:color="000000" w:fill="833C0C"/>
            <w:vAlign w:val="center"/>
            <w:hideMark/>
          </w:tcPr>
          <w:p w14:paraId="5A187916" w14:textId="77777777" w:rsidR="003B2E58" w:rsidRPr="003B2E58" w:rsidRDefault="003B2E58" w:rsidP="003B2E58">
            <w:pPr>
              <w:rPr>
                <w:rFonts w:asciiTheme="minorHAnsi" w:eastAsia="Times New Roman" w:hAnsiTheme="minorHAnsi"/>
                <w:color w:val="FFFFFF"/>
                <w:sz w:val="22"/>
                <w:szCs w:val="22"/>
              </w:rPr>
            </w:pPr>
            <w:r w:rsidRPr="003B2E58">
              <w:rPr>
                <w:rFonts w:asciiTheme="minorHAnsi" w:eastAsia="Times New Roman" w:hAnsiTheme="minorHAnsi"/>
                <w:color w:val="FFFFFF"/>
                <w:sz w:val="22"/>
                <w:szCs w:val="22"/>
              </w:rPr>
              <w:lastRenderedPageBreak/>
              <w:t>Clifton BOE - Current State Aid versus State School Aid Adequacy</w:t>
            </w:r>
          </w:p>
        </w:tc>
      </w:tr>
      <w:tr w:rsidR="003B2E58" w:rsidRPr="003B2E58" w14:paraId="66E225E0" w14:textId="77777777" w:rsidTr="003B2E58">
        <w:trPr>
          <w:gridAfter w:val="1"/>
          <w:wAfter w:w="38" w:type="dxa"/>
          <w:trHeight w:val="392"/>
        </w:trPr>
        <w:tc>
          <w:tcPr>
            <w:tcW w:w="3559" w:type="dxa"/>
            <w:tcBorders>
              <w:top w:val="nil"/>
              <w:left w:val="single" w:sz="8" w:space="0" w:color="auto"/>
              <w:bottom w:val="single" w:sz="4" w:space="0" w:color="auto"/>
              <w:right w:val="single" w:sz="4" w:space="0" w:color="auto"/>
            </w:tcBorders>
            <w:shd w:val="clear" w:color="000000" w:fill="FCE4D6"/>
            <w:vAlign w:val="center"/>
            <w:hideMark/>
          </w:tcPr>
          <w:p w14:paraId="6B9B48F8" w14:textId="77777777" w:rsidR="003B2E58" w:rsidRPr="003B2E58" w:rsidRDefault="003B2E58">
            <w:pPr>
              <w:jc w:val="center"/>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 </w:t>
            </w:r>
          </w:p>
        </w:tc>
        <w:tc>
          <w:tcPr>
            <w:tcW w:w="1757" w:type="dxa"/>
            <w:tcBorders>
              <w:top w:val="nil"/>
              <w:left w:val="nil"/>
              <w:bottom w:val="single" w:sz="4" w:space="0" w:color="auto"/>
              <w:right w:val="single" w:sz="4" w:space="0" w:color="auto"/>
            </w:tcBorders>
            <w:shd w:val="clear" w:color="000000" w:fill="FCE4D6"/>
            <w:vAlign w:val="center"/>
            <w:hideMark/>
          </w:tcPr>
          <w:p w14:paraId="3F4B500C" w14:textId="77777777" w:rsidR="003B2E58" w:rsidRPr="003B2E58" w:rsidRDefault="003B2E58">
            <w:pPr>
              <w:jc w:val="center"/>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State Aid 16.17</w:t>
            </w:r>
          </w:p>
        </w:tc>
        <w:tc>
          <w:tcPr>
            <w:tcW w:w="1358" w:type="dxa"/>
            <w:tcBorders>
              <w:top w:val="nil"/>
              <w:left w:val="nil"/>
              <w:bottom w:val="single" w:sz="4" w:space="0" w:color="auto"/>
              <w:right w:val="single" w:sz="4" w:space="0" w:color="auto"/>
            </w:tcBorders>
            <w:shd w:val="clear" w:color="000000" w:fill="FCE4D6"/>
            <w:vAlign w:val="center"/>
            <w:hideMark/>
          </w:tcPr>
          <w:p w14:paraId="474AC33C" w14:textId="77777777" w:rsidR="003B2E58" w:rsidRPr="003B2E58" w:rsidRDefault="003B2E58">
            <w:pPr>
              <w:jc w:val="center"/>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Adequacy</w:t>
            </w:r>
          </w:p>
        </w:tc>
        <w:tc>
          <w:tcPr>
            <w:tcW w:w="1391" w:type="dxa"/>
            <w:tcBorders>
              <w:top w:val="nil"/>
              <w:left w:val="nil"/>
              <w:bottom w:val="single" w:sz="4" w:space="0" w:color="auto"/>
              <w:right w:val="single" w:sz="4" w:space="0" w:color="auto"/>
            </w:tcBorders>
            <w:shd w:val="clear" w:color="000000" w:fill="FCE4D6"/>
            <w:vAlign w:val="center"/>
            <w:hideMark/>
          </w:tcPr>
          <w:p w14:paraId="1A30BDB3" w14:textId="77777777" w:rsidR="003B2E58" w:rsidRPr="003B2E58" w:rsidRDefault="003B2E58">
            <w:pPr>
              <w:jc w:val="center"/>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Difference</w:t>
            </w:r>
          </w:p>
        </w:tc>
        <w:tc>
          <w:tcPr>
            <w:tcW w:w="1332" w:type="dxa"/>
            <w:tcBorders>
              <w:top w:val="nil"/>
              <w:left w:val="nil"/>
              <w:bottom w:val="single" w:sz="4" w:space="0" w:color="auto"/>
              <w:right w:val="single" w:sz="8" w:space="0" w:color="auto"/>
            </w:tcBorders>
            <w:shd w:val="clear" w:color="000000" w:fill="FCE4D6"/>
            <w:vAlign w:val="center"/>
            <w:hideMark/>
          </w:tcPr>
          <w:p w14:paraId="5AEA3AE4" w14:textId="77777777" w:rsidR="003B2E58" w:rsidRPr="003B2E58" w:rsidRDefault="003B2E58">
            <w:pPr>
              <w:jc w:val="center"/>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Percentage</w:t>
            </w:r>
          </w:p>
        </w:tc>
      </w:tr>
      <w:tr w:rsidR="003B2E58" w:rsidRPr="003B2E58" w14:paraId="0E9D8E4E" w14:textId="77777777" w:rsidTr="003B2E58">
        <w:trPr>
          <w:gridAfter w:val="1"/>
          <w:wAfter w:w="38" w:type="dxa"/>
          <w:trHeight w:val="392"/>
        </w:trPr>
        <w:tc>
          <w:tcPr>
            <w:tcW w:w="3559" w:type="dxa"/>
            <w:tcBorders>
              <w:top w:val="nil"/>
              <w:left w:val="single" w:sz="8" w:space="0" w:color="auto"/>
              <w:bottom w:val="single" w:sz="4" w:space="0" w:color="auto"/>
              <w:right w:val="single" w:sz="4" w:space="0" w:color="auto"/>
            </w:tcBorders>
            <w:shd w:val="clear" w:color="000000" w:fill="F8CBAD"/>
            <w:vAlign w:val="center"/>
            <w:hideMark/>
          </w:tcPr>
          <w:p w14:paraId="0CD3F58B" w14:textId="77777777" w:rsidR="003B2E58" w:rsidRPr="003B2E58" w:rsidRDefault="003B2E58">
            <w:pPr>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Categorical Sp. Education Aid</w:t>
            </w:r>
          </w:p>
        </w:tc>
        <w:tc>
          <w:tcPr>
            <w:tcW w:w="1757" w:type="dxa"/>
            <w:tcBorders>
              <w:top w:val="nil"/>
              <w:left w:val="nil"/>
              <w:bottom w:val="single" w:sz="4" w:space="0" w:color="auto"/>
              <w:right w:val="single" w:sz="4" w:space="0" w:color="auto"/>
            </w:tcBorders>
            <w:shd w:val="clear" w:color="000000" w:fill="F8CBAD"/>
            <w:vAlign w:val="center"/>
            <w:hideMark/>
          </w:tcPr>
          <w:p w14:paraId="3A7F8FF1"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6,684,519</w:t>
            </w:r>
          </w:p>
        </w:tc>
        <w:tc>
          <w:tcPr>
            <w:tcW w:w="1358" w:type="dxa"/>
            <w:tcBorders>
              <w:top w:val="nil"/>
              <w:left w:val="nil"/>
              <w:bottom w:val="single" w:sz="4" w:space="0" w:color="auto"/>
              <w:right w:val="single" w:sz="4" w:space="0" w:color="auto"/>
            </w:tcBorders>
            <w:shd w:val="clear" w:color="000000" w:fill="F8CBAD"/>
            <w:vAlign w:val="center"/>
            <w:hideMark/>
          </w:tcPr>
          <w:p w14:paraId="4AC1DE1A"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9,229,134</w:t>
            </w:r>
          </w:p>
        </w:tc>
        <w:tc>
          <w:tcPr>
            <w:tcW w:w="1391" w:type="dxa"/>
            <w:tcBorders>
              <w:top w:val="nil"/>
              <w:left w:val="nil"/>
              <w:bottom w:val="single" w:sz="4" w:space="0" w:color="auto"/>
              <w:right w:val="single" w:sz="4" w:space="0" w:color="auto"/>
            </w:tcBorders>
            <w:shd w:val="clear" w:color="000000" w:fill="F8CBAD"/>
            <w:vAlign w:val="center"/>
            <w:hideMark/>
          </w:tcPr>
          <w:p w14:paraId="0A726537"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2,544,615</w:t>
            </w:r>
          </w:p>
        </w:tc>
        <w:tc>
          <w:tcPr>
            <w:tcW w:w="1332" w:type="dxa"/>
            <w:tcBorders>
              <w:top w:val="nil"/>
              <w:left w:val="nil"/>
              <w:bottom w:val="single" w:sz="4" w:space="0" w:color="auto"/>
              <w:right w:val="single" w:sz="8" w:space="0" w:color="auto"/>
            </w:tcBorders>
            <w:shd w:val="clear" w:color="000000" w:fill="F8CBAD"/>
            <w:vAlign w:val="center"/>
            <w:hideMark/>
          </w:tcPr>
          <w:p w14:paraId="61A19352"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28.00%</w:t>
            </w:r>
          </w:p>
        </w:tc>
      </w:tr>
      <w:tr w:rsidR="003B2E58" w:rsidRPr="003B2E58" w14:paraId="7A76299C" w14:textId="77777777" w:rsidTr="003B2E58">
        <w:trPr>
          <w:gridAfter w:val="1"/>
          <w:wAfter w:w="38" w:type="dxa"/>
          <w:trHeight w:val="392"/>
        </w:trPr>
        <w:tc>
          <w:tcPr>
            <w:tcW w:w="3559" w:type="dxa"/>
            <w:tcBorders>
              <w:top w:val="nil"/>
              <w:left w:val="single" w:sz="8" w:space="0" w:color="auto"/>
              <w:bottom w:val="single" w:sz="4" w:space="0" w:color="auto"/>
              <w:right w:val="single" w:sz="4" w:space="0" w:color="auto"/>
            </w:tcBorders>
            <w:shd w:val="clear" w:color="000000" w:fill="FCE4D6"/>
            <w:vAlign w:val="center"/>
            <w:hideMark/>
          </w:tcPr>
          <w:p w14:paraId="4D68EDD3" w14:textId="77777777" w:rsidR="003B2E58" w:rsidRPr="003B2E58" w:rsidRDefault="003B2E58">
            <w:pPr>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Equalization Aid</w:t>
            </w:r>
          </w:p>
        </w:tc>
        <w:tc>
          <w:tcPr>
            <w:tcW w:w="1757" w:type="dxa"/>
            <w:tcBorders>
              <w:top w:val="nil"/>
              <w:left w:val="nil"/>
              <w:bottom w:val="single" w:sz="4" w:space="0" w:color="auto"/>
              <w:right w:val="single" w:sz="4" w:space="0" w:color="auto"/>
            </w:tcBorders>
            <w:shd w:val="clear" w:color="000000" w:fill="FCE4D6"/>
            <w:vAlign w:val="center"/>
            <w:hideMark/>
          </w:tcPr>
          <w:p w14:paraId="4D7886ED"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17,638,485</w:t>
            </w:r>
          </w:p>
        </w:tc>
        <w:tc>
          <w:tcPr>
            <w:tcW w:w="1358" w:type="dxa"/>
            <w:tcBorders>
              <w:top w:val="nil"/>
              <w:left w:val="nil"/>
              <w:bottom w:val="single" w:sz="4" w:space="0" w:color="auto"/>
              <w:right w:val="single" w:sz="4" w:space="0" w:color="auto"/>
            </w:tcBorders>
            <w:shd w:val="clear" w:color="000000" w:fill="FCE4D6"/>
            <w:vAlign w:val="center"/>
            <w:hideMark/>
          </w:tcPr>
          <w:p w14:paraId="23DD12AF"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60,603,969</w:t>
            </w:r>
          </w:p>
        </w:tc>
        <w:tc>
          <w:tcPr>
            <w:tcW w:w="1391" w:type="dxa"/>
            <w:tcBorders>
              <w:top w:val="nil"/>
              <w:left w:val="nil"/>
              <w:bottom w:val="single" w:sz="4" w:space="0" w:color="auto"/>
              <w:right w:val="single" w:sz="4" w:space="0" w:color="auto"/>
            </w:tcBorders>
            <w:shd w:val="clear" w:color="000000" w:fill="FCE4D6"/>
            <w:vAlign w:val="center"/>
            <w:hideMark/>
          </w:tcPr>
          <w:p w14:paraId="73227C38"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42,965,484</w:t>
            </w:r>
          </w:p>
        </w:tc>
        <w:tc>
          <w:tcPr>
            <w:tcW w:w="1332" w:type="dxa"/>
            <w:tcBorders>
              <w:top w:val="nil"/>
              <w:left w:val="nil"/>
              <w:bottom w:val="single" w:sz="4" w:space="0" w:color="auto"/>
              <w:right w:val="single" w:sz="8" w:space="0" w:color="auto"/>
            </w:tcBorders>
            <w:shd w:val="clear" w:color="000000" w:fill="FCE4D6"/>
            <w:vAlign w:val="center"/>
            <w:hideMark/>
          </w:tcPr>
          <w:p w14:paraId="0D045679"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71.00%</w:t>
            </w:r>
          </w:p>
        </w:tc>
        <w:bookmarkStart w:id="0" w:name="_GoBack"/>
        <w:bookmarkEnd w:id="0"/>
      </w:tr>
      <w:tr w:rsidR="003B2E58" w:rsidRPr="003B2E58" w14:paraId="7B10118B" w14:textId="77777777" w:rsidTr="003B2E58">
        <w:trPr>
          <w:gridAfter w:val="1"/>
          <w:wAfter w:w="38" w:type="dxa"/>
          <w:trHeight w:val="392"/>
        </w:trPr>
        <w:tc>
          <w:tcPr>
            <w:tcW w:w="3559" w:type="dxa"/>
            <w:tcBorders>
              <w:top w:val="nil"/>
              <w:left w:val="single" w:sz="8" w:space="0" w:color="auto"/>
              <w:bottom w:val="single" w:sz="4" w:space="0" w:color="auto"/>
              <w:right w:val="single" w:sz="4" w:space="0" w:color="auto"/>
            </w:tcBorders>
            <w:shd w:val="clear" w:color="000000" w:fill="F8CBAD"/>
            <w:vAlign w:val="center"/>
            <w:hideMark/>
          </w:tcPr>
          <w:p w14:paraId="222734B8" w14:textId="77777777" w:rsidR="003B2E58" w:rsidRPr="003B2E58" w:rsidRDefault="003B2E58">
            <w:pPr>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Categorical Security Aid</w:t>
            </w:r>
          </w:p>
        </w:tc>
        <w:tc>
          <w:tcPr>
            <w:tcW w:w="1757" w:type="dxa"/>
            <w:tcBorders>
              <w:top w:val="nil"/>
              <w:left w:val="nil"/>
              <w:bottom w:val="single" w:sz="4" w:space="0" w:color="auto"/>
              <w:right w:val="single" w:sz="4" w:space="0" w:color="auto"/>
            </w:tcBorders>
            <w:shd w:val="clear" w:color="000000" w:fill="F8CBAD"/>
            <w:vAlign w:val="center"/>
            <w:hideMark/>
          </w:tcPr>
          <w:p w14:paraId="551E31D0"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867,934</w:t>
            </w:r>
          </w:p>
        </w:tc>
        <w:tc>
          <w:tcPr>
            <w:tcW w:w="1358" w:type="dxa"/>
            <w:tcBorders>
              <w:top w:val="nil"/>
              <w:left w:val="nil"/>
              <w:bottom w:val="single" w:sz="4" w:space="0" w:color="auto"/>
              <w:right w:val="single" w:sz="4" w:space="0" w:color="auto"/>
            </w:tcBorders>
            <w:shd w:val="clear" w:color="000000" w:fill="F8CBAD"/>
            <w:vAlign w:val="center"/>
            <w:hideMark/>
          </w:tcPr>
          <w:p w14:paraId="0269D088"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3,546,427</w:t>
            </w:r>
          </w:p>
        </w:tc>
        <w:tc>
          <w:tcPr>
            <w:tcW w:w="1391" w:type="dxa"/>
            <w:tcBorders>
              <w:top w:val="nil"/>
              <w:left w:val="nil"/>
              <w:bottom w:val="single" w:sz="4" w:space="0" w:color="auto"/>
              <w:right w:val="single" w:sz="4" w:space="0" w:color="auto"/>
            </w:tcBorders>
            <w:shd w:val="clear" w:color="000000" w:fill="F8CBAD"/>
            <w:vAlign w:val="center"/>
            <w:hideMark/>
          </w:tcPr>
          <w:p w14:paraId="3071AE53"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2,678,493</w:t>
            </w:r>
            <w:proofErr w:type="gramStart"/>
            <w:r w:rsidRPr="003B2E58">
              <w:rPr>
                <w:rFonts w:asciiTheme="minorHAnsi" w:eastAsia="Times New Roman" w:hAnsiTheme="minorHAnsi"/>
                <w:color w:val="000000"/>
                <w:sz w:val="22"/>
                <w:szCs w:val="22"/>
              </w:rPr>
              <w:t xml:space="preserve"> ..</w:t>
            </w:r>
            <w:proofErr w:type="gramEnd"/>
          </w:p>
        </w:tc>
        <w:tc>
          <w:tcPr>
            <w:tcW w:w="1332" w:type="dxa"/>
            <w:tcBorders>
              <w:top w:val="nil"/>
              <w:left w:val="nil"/>
              <w:bottom w:val="single" w:sz="4" w:space="0" w:color="auto"/>
              <w:right w:val="single" w:sz="8" w:space="0" w:color="auto"/>
            </w:tcBorders>
            <w:shd w:val="clear" w:color="000000" w:fill="F8CBAD"/>
            <w:vAlign w:val="center"/>
            <w:hideMark/>
          </w:tcPr>
          <w:p w14:paraId="1439737C"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76.00%</w:t>
            </w:r>
          </w:p>
        </w:tc>
      </w:tr>
      <w:tr w:rsidR="003B2E58" w:rsidRPr="003B2E58" w14:paraId="17708806" w14:textId="77777777" w:rsidTr="003B2E58">
        <w:trPr>
          <w:gridAfter w:val="1"/>
          <w:wAfter w:w="38" w:type="dxa"/>
          <w:trHeight w:val="392"/>
        </w:trPr>
        <w:tc>
          <w:tcPr>
            <w:tcW w:w="3559" w:type="dxa"/>
            <w:tcBorders>
              <w:top w:val="nil"/>
              <w:left w:val="single" w:sz="8" w:space="0" w:color="auto"/>
              <w:bottom w:val="single" w:sz="4" w:space="0" w:color="auto"/>
              <w:right w:val="single" w:sz="4" w:space="0" w:color="auto"/>
            </w:tcBorders>
            <w:shd w:val="clear" w:color="000000" w:fill="FCE4D6"/>
            <w:vAlign w:val="center"/>
            <w:hideMark/>
          </w:tcPr>
          <w:p w14:paraId="327DF5DC" w14:textId="77777777" w:rsidR="003B2E58" w:rsidRPr="003B2E58" w:rsidRDefault="003B2E58">
            <w:pPr>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Categorical Transportation Aid</w:t>
            </w:r>
          </w:p>
        </w:tc>
        <w:tc>
          <w:tcPr>
            <w:tcW w:w="1757" w:type="dxa"/>
            <w:tcBorders>
              <w:top w:val="nil"/>
              <w:left w:val="nil"/>
              <w:bottom w:val="single" w:sz="4" w:space="0" w:color="auto"/>
              <w:right w:val="single" w:sz="4" w:space="0" w:color="auto"/>
            </w:tcBorders>
            <w:shd w:val="clear" w:color="000000" w:fill="FCE4D6"/>
            <w:vAlign w:val="center"/>
            <w:hideMark/>
          </w:tcPr>
          <w:p w14:paraId="254DD636"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551,845</w:t>
            </w:r>
          </w:p>
        </w:tc>
        <w:tc>
          <w:tcPr>
            <w:tcW w:w="1358" w:type="dxa"/>
            <w:tcBorders>
              <w:top w:val="nil"/>
              <w:left w:val="nil"/>
              <w:bottom w:val="single" w:sz="4" w:space="0" w:color="auto"/>
              <w:right w:val="single" w:sz="4" w:space="0" w:color="auto"/>
            </w:tcBorders>
            <w:shd w:val="clear" w:color="000000" w:fill="FCE4D6"/>
            <w:vAlign w:val="center"/>
            <w:hideMark/>
          </w:tcPr>
          <w:p w14:paraId="361F8E90"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2,371,972</w:t>
            </w:r>
          </w:p>
        </w:tc>
        <w:tc>
          <w:tcPr>
            <w:tcW w:w="1391" w:type="dxa"/>
            <w:tcBorders>
              <w:top w:val="nil"/>
              <w:left w:val="nil"/>
              <w:bottom w:val="single" w:sz="4" w:space="0" w:color="auto"/>
              <w:right w:val="single" w:sz="4" w:space="0" w:color="auto"/>
            </w:tcBorders>
            <w:shd w:val="clear" w:color="000000" w:fill="FCE4D6"/>
            <w:vAlign w:val="center"/>
            <w:hideMark/>
          </w:tcPr>
          <w:p w14:paraId="73AD05F2"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1,820,127</w:t>
            </w:r>
          </w:p>
        </w:tc>
        <w:tc>
          <w:tcPr>
            <w:tcW w:w="1332" w:type="dxa"/>
            <w:tcBorders>
              <w:top w:val="nil"/>
              <w:left w:val="nil"/>
              <w:bottom w:val="single" w:sz="4" w:space="0" w:color="auto"/>
              <w:right w:val="single" w:sz="8" w:space="0" w:color="auto"/>
            </w:tcBorders>
            <w:shd w:val="clear" w:color="000000" w:fill="FCE4D6"/>
            <w:vAlign w:val="center"/>
            <w:hideMark/>
          </w:tcPr>
          <w:p w14:paraId="4FCA1ABC"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77.00%</w:t>
            </w:r>
          </w:p>
        </w:tc>
      </w:tr>
      <w:tr w:rsidR="003B2E58" w:rsidRPr="003B2E58" w14:paraId="12C95469" w14:textId="77777777" w:rsidTr="003B2E58">
        <w:trPr>
          <w:gridAfter w:val="1"/>
          <w:wAfter w:w="38" w:type="dxa"/>
          <w:trHeight w:val="392"/>
        </w:trPr>
        <w:tc>
          <w:tcPr>
            <w:tcW w:w="3559" w:type="dxa"/>
            <w:tcBorders>
              <w:top w:val="nil"/>
              <w:left w:val="single" w:sz="8" w:space="0" w:color="auto"/>
              <w:bottom w:val="single" w:sz="4" w:space="0" w:color="auto"/>
              <w:right w:val="single" w:sz="4" w:space="0" w:color="auto"/>
            </w:tcBorders>
            <w:shd w:val="clear" w:color="000000" w:fill="F8CBAD"/>
            <w:vAlign w:val="center"/>
            <w:hideMark/>
          </w:tcPr>
          <w:p w14:paraId="531F0CF8" w14:textId="77777777" w:rsidR="003B2E58" w:rsidRPr="003B2E58" w:rsidRDefault="003B2E58">
            <w:pPr>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Subtotal</w:t>
            </w:r>
          </w:p>
        </w:tc>
        <w:tc>
          <w:tcPr>
            <w:tcW w:w="1757" w:type="dxa"/>
            <w:tcBorders>
              <w:top w:val="nil"/>
              <w:left w:val="nil"/>
              <w:bottom w:val="single" w:sz="4" w:space="0" w:color="auto"/>
              <w:right w:val="single" w:sz="4" w:space="0" w:color="auto"/>
            </w:tcBorders>
            <w:shd w:val="clear" w:color="000000" w:fill="F8CBAD"/>
            <w:vAlign w:val="center"/>
            <w:hideMark/>
          </w:tcPr>
          <w:p w14:paraId="6941682C"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25,742,783</w:t>
            </w:r>
          </w:p>
        </w:tc>
        <w:tc>
          <w:tcPr>
            <w:tcW w:w="1358" w:type="dxa"/>
            <w:tcBorders>
              <w:top w:val="nil"/>
              <w:left w:val="nil"/>
              <w:bottom w:val="single" w:sz="4" w:space="0" w:color="auto"/>
              <w:right w:val="single" w:sz="4" w:space="0" w:color="auto"/>
            </w:tcBorders>
            <w:shd w:val="clear" w:color="000000" w:fill="F8CBAD"/>
            <w:vAlign w:val="center"/>
            <w:hideMark/>
          </w:tcPr>
          <w:p w14:paraId="0D465746"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75,751,502</w:t>
            </w:r>
          </w:p>
        </w:tc>
        <w:tc>
          <w:tcPr>
            <w:tcW w:w="1391" w:type="dxa"/>
            <w:tcBorders>
              <w:top w:val="nil"/>
              <w:left w:val="nil"/>
              <w:bottom w:val="single" w:sz="4" w:space="0" w:color="auto"/>
              <w:right w:val="single" w:sz="4" w:space="0" w:color="auto"/>
            </w:tcBorders>
            <w:shd w:val="clear" w:color="000000" w:fill="F8CBAD"/>
            <w:vAlign w:val="center"/>
            <w:hideMark/>
          </w:tcPr>
          <w:p w14:paraId="5E8ED27F"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50,008,719</w:t>
            </w:r>
          </w:p>
        </w:tc>
        <w:tc>
          <w:tcPr>
            <w:tcW w:w="1332" w:type="dxa"/>
            <w:tcBorders>
              <w:top w:val="nil"/>
              <w:left w:val="nil"/>
              <w:bottom w:val="single" w:sz="4" w:space="0" w:color="auto"/>
              <w:right w:val="single" w:sz="8" w:space="0" w:color="auto"/>
            </w:tcBorders>
            <w:shd w:val="clear" w:color="000000" w:fill="F8CBAD"/>
            <w:vAlign w:val="center"/>
            <w:hideMark/>
          </w:tcPr>
          <w:p w14:paraId="282E4993"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66.00%</w:t>
            </w:r>
          </w:p>
        </w:tc>
      </w:tr>
      <w:tr w:rsidR="003B2E58" w:rsidRPr="003B2E58" w14:paraId="3D7BBF8A" w14:textId="77777777" w:rsidTr="003B2E58">
        <w:trPr>
          <w:gridAfter w:val="1"/>
          <w:wAfter w:w="38" w:type="dxa"/>
          <w:trHeight w:val="392"/>
        </w:trPr>
        <w:tc>
          <w:tcPr>
            <w:tcW w:w="3559" w:type="dxa"/>
            <w:tcBorders>
              <w:top w:val="nil"/>
              <w:left w:val="single" w:sz="8" w:space="0" w:color="auto"/>
              <w:bottom w:val="single" w:sz="4" w:space="0" w:color="auto"/>
              <w:right w:val="single" w:sz="4" w:space="0" w:color="auto"/>
            </w:tcBorders>
            <w:shd w:val="clear" w:color="000000" w:fill="FCE4D6"/>
            <w:vAlign w:val="center"/>
            <w:hideMark/>
          </w:tcPr>
          <w:p w14:paraId="50B808F9" w14:textId="77777777" w:rsidR="003B2E58" w:rsidRPr="003B2E58" w:rsidRDefault="003B2E58">
            <w:pPr>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Under Adequacy Aid</w:t>
            </w:r>
          </w:p>
        </w:tc>
        <w:tc>
          <w:tcPr>
            <w:tcW w:w="1757" w:type="dxa"/>
            <w:tcBorders>
              <w:top w:val="nil"/>
              <w:left w:val="nil"/>
              <w:bottom w:val="single" w:sz="4" w:space="0" w:color="auto"/>
              <w:right w:val="single" w:sz="4" w:space="0" w:color="auto"/>
            </w:tcBorders>
            <w:shd w:val="clear" w:color="000000" w:fill="FCE4D6"/>
            <w:vAlign w:val="center"/>
            <w:hideMark/>
          </w:tcPr>
          <w:p w14:paraId="3F3D2793"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500,000</w:t>
            </w:r>
          </w:p>
        </w:tc>
        <w:tc>
          <w:tcPr>
            <w:tcW w:w="1358" w:type="dxa"/>
            <w:tcBorders>
              <w:top w:val="nil"/>
              <w:left w:val="nil"/>
              <w:bottom w:val="single" w:sz="4" w:space="0" w:color="auto"/>
              <w:right w:val="single" w:sz="4" w:space="0" w:color="auto"/>
            </w:tcBorders>
            <w:shd w:val="clear" w:color="000000" w:fill="FCE4D6"/>
            <w:vAlign w:val="center"/>
            <w:hideMark/>
          </w:tcPr>
          <w:p w14:paraId="28241A8E"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500,000</w:t>
            </w:r>
          </w:p>
        </w:tc>
        <w:tc>
          <w:tcPr>
            <w:tcW w:w="1391" w:type="dxa"/>
            <w:tcBorders>
              <w:top w:val="nil"/>
              <w:left w:val="nil"/>
              <w:bottom w:val="single" w:sz="4" w:space="0" w:color="auto"/>
              <w:right w:val="single" w:sz="4" w:space="0" w:color="auto"/>
            </w:tcBorders>
            <w:shd w:val="clear" w:color="000000" w:fill="FCE4D6"/>
            <w:vAlign w:val="center"/>
            <w:hideMark/>
          </w:tcPr>
          <w:p w14:paraId="0C1B7F7F"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0</w:t>
            </w:r>
          </w:p>
        </w:tc>
        <w:tc>
          <w:tcPr>
            <w:tcW w:w="1332" w:type="dxa"/>
            <w:tcBorders>
              <w:top w:val="nil"/>
              <w:left w:val="nil"/>
              <w:bottom w:val="single" w:sz="4" w:space="0" w:color="auto"/>
              <w:right w:val="single" w:sz="8" w:space="0" w:color="auto"/>
            </w:tcBorders>
            <w:shd w:val="clear" w:color="000000" w:fill="FCE4D6"/>
            <w:vAlign w:val="center"/>
            <w:hideMark/>
          </w:tcPr>
          <w:p w14:paraId="15F6F0AC"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0.00%</w:t>
            </w:r>
          </w:p>
        </w:tc>
      </w:tr>
      <w:tr w:rsidR="003B2E58" w:rsidRPr="003B2E58" w14:paraId="73278D9F" w14:textId="77777777" w:rsidTr="003B2E58">
        <w:trPr>
          <w:gridAfter w:val="1"/>
          <w:wAfter w:w="38" w:type="dxa"/>
          <w:trHeight w:val="392"/>
        </w:trPr>
        <w:tc>
          <w:tcPr>
            <w:tcW w:w="3559" w:type="dxa"/>
            <w:tcBorders>
              <w:top w:val="nil"/>
              <w:left w:val="single" w:sz="8" w:space="0" w:color="auto"/>
              <w:bottom w:val="single" w:sz="4" w:space="0" w:color="auto"/>
              <w:right w:val="single" w:sz="4" w:space="0" w:color="auto"/>
            </w:tcBorders>
            <w:shd w:val="clear" w:color="000000" w:fill="F8CBAD"/>
            <w:vAlign w:val="center"/>
            <w:hideMark/>
          </w:tcPr>
          <w:p w14:paraId="4F6FEECB" w14:textId="77777777" w:rsidR="003B2E58" w:rsidRPr="003B2E58" w:rsidRDefault="003B2E58">
            <w:pPr>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PARCC Readiness Aid</w:t>
            </w:r>
          </w:p>
        </w:tc>
        <w:tc>
          <w:tcPr>
            <w:tcW w:w="1757" w:type="dxa"/>
            <w:tcBorders>
              <w:top w:val="nil"/>
              <w:left w:val="nil"/>
              <w:bottom w:val="single" w:sz="4" w:space="0" w:color="auto"/>
              <w:right w:val="single" w:sz="4" w:space="0" w:color="auto"/>
            </w:tcBorders>
            <w:shd w:val="clear" w:color="000000" w:fill="F8CBAD"/>
            <w:vAlign w:val="center"/>
            <w:hideMark/>
          </w:tcPr>
          <w:p w14:paraId="1428BD89"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112,730</w:t>
            </w:r>
          </w:p>
        </w:tc>
        <w:tc>
          <w:tcPr>
            <w:tcW w:w="1358" w:type="dxa"/>
            <w:tcBorders>
              <w:top w:val="nil"/>
              <w:left w:val="nil"/>
              <w:bottom w:val="single" w:sz="4" w:space="0" w:color="auto"/>
              <w:right w:val="single" w:sz="4" w:space="0" w:color="auto"/>
            </w:tcBorders>
            <w:shd w:val="clear" w:color="000000" w:fill="F8CBAD"/>
            <w:vAlign w:val="center"/>
            <w:hideMark/>
          </w:tcPr>
          <w:p w14:paraId="79FBF7CC"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112,730</w:t>
            </w:r>
          </w:p>
        </w:tc>
        <w:tc>
          <w:tcPr>
            <w:tcW w:w="1391" w:type="dxa"/>
            <w:tcBorders>
              <w:top w:val="nil"/>
              <w:left w:val="nil"/>
              <w:bottom w:val="single" w:sz="4" w:space="0" w:color="auto"/>
              <w:right w:val="single" w:sz="4" w:space="0" w:color="auto"/>
            </w:tcBorders>
            <w:shd w:val="clear" w:color="000000" w:fill="F8CBAD"/>
            <w:vAlign w:val="center"/>
            <w:hideMark/>
          </w:tcPr>
          <w:p w14:paraId="525E54CE"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0</w:t>
            </w:r>
          </w:p>
        </w:tc>
        <w:tc>
          <w:tcPr>
            <w:tcW w:w="1332" w:type="dxa"/>
            <w:tcBorders>
              <w:top w:val="nil"/>
              <w:left w:val="nil"/>
              <w:bottom w:val="single" w:sz="4" w:space="0" w:color="auto"/>
              <w:right w:val="single" w:sz="8" w:space="0" w:color="auto"/>
            </w:tcBorders>
            <w:shd w:val="clear" w:color="000000" w:fill="F8CBAD"/>
            <w:vAlign w:val="center"/>
            <w:hideMark/>
          </w:tcPr>
          <w:p w14:paraId="07E83AE1"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0.00%</w:t>
            </w:r>
          </w:p>
        </w:tc>
      </w:tr>
      <w:tr w:rsidR="003B2E58" w:rsidRPr="003B2E58" w14:paraId="335F2BD0" w14:textId="77777777" w:rsidTr="003B2E58">
        <w:trPr>
          <w:gridAfter w:val="1"/>
          <w:wAfter w:w="38" w:type="dxa"/>
          <w:trHeight w:val="392"/>
        </w:trPr>
        <w:tc>
          <w:tcPr>
            <w:tcW w:w="3559" w:type="dxa"/>
            <w:tcBorders>
              <w:top w:val="nil"/>
              <w:left w:val="single" w:sz="8" w:space="0" w:color="auto"/>
              <w:bottom w:val="single" w:sz="4" w:space="0" w:color="auto"/>
              <w:right w:val="single" w:sz="4" w:space="0" w:color="auto"/>
            </w:tcBorders>
            <w:shd w:val="clear" w:color="000000" w:fill="FCE4D6"/>
            <w:vAlign w:val="center"/>
            <w:hideMark/>
          </w:tcPr>
          <w:p w14:paraId="4F70FC54" w14:textId="77777777" w:rsidR="003B2E58" w:rsidRPr="003B2E58" w:rsidRDefault="003B2E58">
            <w:pPr>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Per Pupil Growth Aid</w:t>
            </w:r>
          </w:p>
        </w:tc>
        <w:tc>
          <w:tcPr>
            <w:tcW w:w="1757" w:type="dxa"/>
            <w:tcBorders>
              <w:top w:val="nil"/>
              <w:left w:val="nil"/>
              <w:bottom w:val="single" w:sz="4" w:space="0" w:color="auto"/>
              <w:right w:val="single" w:sz="4" w:space="0" w:color="auto"/>
            </w:tcBorders>
            <w:shd w:val="clear" w:color="000000" w:fill="FCE4D6"/>
            <w:vAlign w:val="center"/>
            <w:hideMark/>
          </w:tcPr>
          <w:p w14:paraId="3C8D0E30"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112,730</w:t>
            </w:r>
          </w:p>
        </w:tc>
        <w:tc>
          <w:tcPr>
            <w:tcW w:w="1358" w:type="dxa"/>
            <w:tcBorders>
              <w:top w:val="nil"/>
              <w:left w:val="nil"/>
              <w:bottom w:val="single" w:sz="4" w:space="0" w:color="auto"/>
              <w:right w:val="single" w:sz="4" w:space="0" w:color="auto"/>
            </w:tcBorders>
            <w:shd w:val="clear" w:color="000000" w:fill="FCE4D6"/>
            <w:vAlign w:val="center"/>
            <w:hideMark/>
          </w:tcPr>
          <w:p w14:paraId="0A6621F4"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112,730</w:t>
            </w:r>
          </w:p>
        </w:tc>
        <w:tc>
          <w:tcPr>
            <w:tcW w:w="1391" w:type="dxa"/>
            <w:tcBorders>
              <w:top w:val="nil"/>
              <w:left w:val="nil"/>
              <w:bottom w:val="single" w:sz="4" w:space="0" w:color="auto"/>
              <w:right w:val="single" w:sz="4" w:space="0" w:color="auto"/>
            </w:tcBorders>
            <w:shd w:val="clear" w:color="000000" w:fill="FCE4D6"/>
            <w:vAlign w:val="center"/>
            <w:hideMark/>
          </w:tcPr>
          <w:p w14:paraId="0B31514E"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0</w:t>
            </w:r>
          </w:p>
        </w:tc>
        <w:tc>
          <w:tcPr>
            <w:tcW w:w="1332" w:type="dxa"/>
            <w:tcBorders>
              <w:top w:val="nil"/>
              <w:left w:val="nil"/>
              <w:bottom w:val="single" w:sz="4" w:space="0" w:color="auto"/>
              <w:right w:val="single" w:sz="8" w:space="0" w:color="auto"/>
            </w:tcBorders>
            <w:shd w:val="clear" w:color="000000" w:fill="FCE4D6"/>
            <w:vAlign w:val="center"/>
            <w:hideMark/>
          </w:tcPr>
          <w:p w14:paraId="7E08D1A2"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0.00%</w:t>
            </w:r>
          </w:p>
        </w:tc>
      </w:tr>
      <w:tr w:rsidR="003B2E58" w:rsidRPr="003B2E58" w14:paraId="232C2F88" w14:textId="77777777" w:rsidTr="003B2E58">
        <w:trPr>
          <w:gridAfter w:val="1"/>
          <w:wAfter w:w="38" w:type="dxa"/>
          <w:trHeight w:val="392"/>
        </w:trPr>
        <w:tc>
          <w:tcPr>
            <w:tcW w:w="3559" w:type="dxa"/>
            <w:tcBorders>
              <w:top w:val="nil"/>
              <w:left w:val="single" w:sz="8" w:space="0" w:color="auto"/>
              <w:bottom w:val="single" w:sz="4" w:space="0" w:color="auto"/>
              <w:right w:val="single" w:sz="4" w:space="0" w:color="auto"/>
            </w:tcBorders>
            <w:shd w:val="clear" w:color="000000" w:fill="F8CBAD"/>
            <w:vAlign w:val="center"/>
            <w:hideMark/>
          </w:tcPr>
          <w:p w14:paraId="65209D0E" w14:textId="77777777" w:rsidR="003B2E58" w:rsidRPr="003B2E58" w:rsidRDefault="003B2E58">
            <w:pPr>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Prof Learning Community Aid</w:t>
            </w:r>
          </w:p>
        </w:tc>
        <w:tc>
          <w:tcPr>
            <w:tcW w:w="1757" w:type="dxa"/>
            <w:tcBorders>
              <w:top w:val="nil"/>
              <w:left w:val="nil"/>
              <w:bottom w:val="single" w:sz="4" w:space="0" w:color="auto"/>
              <w:right w:val="single" w:sz="4" w:space="0" w:color="auto"/>
            </w:tcBorders>
            <w:shd w:val="clear" w:color="000000" w:fill="F8CBAD"/>
            <w:vAlign w:val="center"/>
            <w:hideMark/>
          </w:tcPr>
          <w:p w14:paraId="2F3621C4"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110,120</w:t>
            </w:r>
          </w:p>
        </w:tc>
        <w:tc>
          <w:tcPr>
            <w:tcW w:w="1358" w:type="dxa"/>
            <w:tcBorders>
              <w:top w:val="nil"/>
              <w:left w:val="nil"/>
              <w:bottom w:val="single" w:sz="4" w:space="0" w:color="auto"/>
              <w:right w:val="single" w:sz="4" w:space="0" w:color="auto"/>
            </w:tcBorders>
            <w:shd w:val="clear" w:color="000000" w:fill="F8CBAD"/>
            <w:vAlign w:val="center"/>
            <w:hideMark/>
          </w:tcPr>
          <w:p w14:paraId="4ABA2376"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110,120</w:t>
            </w:r>
          </w:p>
        </w:tc>
        <w:tc>
          <w:tcPr>
            <w:tcW w:w="1391" w:type="dxa"/>
            <w:tcBorders>
              <w:top w:val="nil"/>
              <w:left w:val="nil"/>
              <w:bottom w:val="single" w:sz="4" w:space="0" w:color="auto"/>
              <w:right w:val="single" w:sz="4" w:space="0" w:color="auto"/>
            </w:tcBorders>
            <w:shd w:val="clear" w:color="000000" w:fill="F8CBAD"/>
            <w:vAlign w:val="center"/>
            <w:hideMark/>
          </w:tcPr>
          <w:p w14:paraId="61EF35BD"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0</w:t>
            </w:r>
          </w:p>
        </w:tc>
        <w:tc>
          <w:tcPr>
            <w:tcW w:w="1332" w:type="dxa"/>
            <w:tcBorders>
              <w:top w:val="nil"/>
              <w:left w:val="nil"/>
              <w:bottom w:val="single" w:sz="4" w:space="0" w:color="auto"/>
              <w:right w:val="single" w:sz="8" w:space="0" w:color="auto"/>
            </w:tcBorders>
            <w:shd w:val="clear" w:color="000000" w:fill="F8CBAD"/>
            <w:vAlign w:val="center"/>
            <w:hideMark/>
          </w:tcPr>
          <w:p w14:paraId="30ED85A1"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0.00%</w:t>
            </w:r>
          </w:p>
        </w:tc>
      </w:tr>
      <w:tr w:rsidR="003B2E58" w:rsidRPr="003B2E58" w14:paraId="5284CA8D" w14:textId="77777777" w:rsidTr="003B2E58">
        <w:trPr>
          <w:gridAfter w:val="1"/>
          <w:wAfter w:w="38" w:type="dxa"/>
          <w:trHeight w:val="413"/>
        </w:trPr>
        <w:tc>
          <w:tcPr>
            <w:tcW w:w="3559" w:type="dxa"/>
            <w:tcBorders>
              <w:top w:val="nil"/>
              <w:left w:val="single" w:sz="8" w:space="0" w:color="auto"/>
              <w:bottom w:val="single" w:sz="8" w:space="0" w:color="auto"/>
              <w:right w:val="single" w:sz="4" w:space="0" w:color="auto"/>
            </w:tcBorders>
            <w:shd w:val="clear" w:color="000000" w:fill="FCE4D6"/>
            <w:vAlign w:val="center"/>
            <w:hideMark/>
          </w:tcPr>
          <w:p w14:paraId="7128372A" w14:textId="77777777" w:rsidR="003B2E58" w:rsidRPr="003B2E58" w:rsidRDefault="003B2E58">
            <w:pPr>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Total State Aid</w:t>
            </w:r>
          </w:p>
        </w:tc>
        <w:tc>
          <w:tcPr>
            <w:tcW w:w="1757" w:type="dxa"/>
            <w:tcBorders>
              <w:top w:val="nil"/>
              <w:left w:val="nil"/>
              <w:bottom w:val="single" w:sz="8" w:space="0" w:color="auto"/>
              <w:right w:val="single" w:sz="4" w:space="0" w:color="auto"/>
            </w:tcBorders>
            <w:shd w:val="clear" w:color="000000" w:fill="FCE4D6"/>
            <w:vAlign w:val="center"/>
            <w:hideMark/>
          </w:tcPr>
          <w:p w14:paraId="2ED94064"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26,578,363</w:t>
            </w:r>
          </w:p>
        </w:tc>
        <w:tc>
          <w:tcPr>
            <w:tcW w:w="1358" w:type="dxa"/>
            <w:tcBorders>
              <w:top w:val="nil"/>
              <w:left w:val="nil"/>
              <w:bottom w:val="single" w:sz="8" w:space="0" w:color="auto"/>
              <w:right w:val="single" w:sz="4" w:space="0" w:color="auto"/>
            </w:tcBorders>
            <w:shd w:val="clear" w:color="000000" w:fill="FCE4D6"/>
            <w:vAlign w:val="center"/>
            <w:hideMark/>
          </w:tcPr>
          <w:p w14:paraId="5F88192A"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76,587,082</w:t>
            </w:r>
          </w:p>
        </w:tc>
        <w:tc>
          <w:tcPr>
            <w:tcW w:w="1391" w:type="dxa"/>
            <w:tcBorders>
              <w:top w:val="nil"/>
              <w:left w:val="nil"/>
              <w:bottom w:val="single" w:sz="8" w:space="0" w:color="auto"/>
              <w:right w:val="single" w:sz="4" w:space="0" w:color="auto"/>
            </w:tcBorders>
            <w:shd w:val="clear" w:color="000000" w:fill="FCE4D6"/>
            <w:vAlign w:val="center"/>
            <w:hideMark/>
          </w:tcPr>
          <w:p w14:paraId="033A3C20"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50,008,719</w:t>
            </w:r>
          </w:p>
        </w:tc>
        <w:tc>
          <w:tcPr>
            <w:tcW w:w="1332" w:type="dxa"/>
            <w:tcBorders>
              <w:top w:val="nil"/>
              <w:left w:val="nil"/>
              <w:bottom w:val="single" w:sz="8" w:space="0" w:color="auto"/>
              <w:right w:val="single" w:sz="8" w:space="0" w:color="auto"/>
            </w:tcBorders>
            <w:shd w:val="clear" w:color="000000" w:fill="FCE4D6"/>
            <w:vAlign w:val="center"/>
            <w:hideMark/>
          </w:tcPr>
          <w:p w14:paraId="6C213F42" w14:textId="77777777" w:rsidR="003B2E58" w:rsidRPr="003B2E58" w:rsidRDefault="003B2E58">
            <w:pPr>
              <w:jc w:val="right"/>
              <w:rPr>
                <w:rFonts w:asciiTheme="minorHAnsi" w:eastAsia="Times New Roman" w:hAnsiTheme="minorHAnsi"/>
                <w:color w:val="000000"/>
                <w:sz w:val="22"/>
                <w:szCs w:val="22"/>
              </w:rPr>
            </w:pPr>
            <w:r w:rsidRPr="003B2E58">
              <w:rPr>
                <w:rFonts w:asciiTheme="minorHAnsi" w:eastAsia="Times New Roman" w:hAnsiTheme="minorHAnsi"/>
                <w:color w:val="000000"/>
                <w:sz w:val="22"/>
                <w:szCs w:val="22"/>
              </w:rPr>
              <w:t>65.00%</w:t>
            </w:r>
          </w:p>
        </w:tc>
      </w:tr>
    </w:tbl>
    <w:p w14:paraId="3134232C" w14:textId="77777777" w:rsidR="003A58F5" w:rsidRDefault="003A58F5"/>
    <w:sectPr w:rsidR="003A58F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14BA"/>
    <w:rsid w:val="00010448"/>
    <w:rsid w:val="00051718"/>
    <w:rsid w:val="00296C7D"/>
    <w:rsid w:val="002F008F"/>
    <w:rsid w:val="00305BC8"/>
    <w:rsid w:val="003A58F5"/>
    <w:rsid w:val="003B2E58"/>
    <w:rsid w:val="004169DE"/>
    <w:rsid w:val="005214BA"/>
    <w:rsid w:val="0058565D"/>
    <w:rsid w:val="005D5AD5"/>
    <w:rsid w:val="00742C86"/>
    <w:rsid w:val="007747C1"/>
    <w:rsid w:val="007C7372"/>
    <w:rsid w:val="00A579A9"/>
    <w:rsid w:val="00A57C2F"/>
    <w:rsid w:val="00D76396"/>
    <w:rsid w:val="00E03A45"/>
    <w:rsid w:val="00E4171F"/>
    <w:rsid w:val="00F31C97"/>
    <w:rsid w:val="00F91DB3"/>
    <w:rsid w:val="00FE5F2D"/>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8EB32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14BA"/>
    <w:rPr>
      <w:rFonts w:ascii="Tahoma" w:hAnsi="Tahoma" w:cs="Tahoma"/>
      <w:sz w:val="16"/>
      <w:szCs w:val="16"/>
    </w:rPr>
  </w:style>
  <w:style w:type="character" w:customStyle="1" w:styleId="BalloonTextChar">
    <w:name w:val="Balloon Text Char"/>
    <w:basedOn w:val="DefaultParagraphFont"/>
    <w:link w:val="BalloonText"/>
    <w:uiPriority w:val="99"/>
    <w:semiHidden/>
    <w:rsid w:val="005214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336821">
      <w:bodyDiv w:val="1"/>
      <w:marLeft w:val="0"/>
      <w:marRight w:val="0"/>
      <w:marTop w:val="0"/>
      <w:marBottom w:val="0"/>
      <w:divBdr>
        <w:top w:val="none" w:sz="0" w:space="0" w:color="auto"/>
        <w:left w:val="none" w:sz="0" w:space="0" w:color="auto"/>
        <w:bottom w:val="none" w:sz="0" w:space="0" w:color="auto"/>
        <w:right w:val="none" w:sz="0" w:space="0" w:color="auto"/>
      </w:divBdr>
    </w:div>
    <w:div w:id="45884040">
      <w:bodyDiv w:val="1"/>
      <w:marLeft w:val="0"/>
      <w:marRight w:val="0"/>
      <w:marTop w:val="0"/>
      <w:marBottom w:val="0"/>
      <w:divBdr>
        <w:top w:val="none" w:sz="0" w:space="0" w:color="auto"/>
        <w:left w:val="none" w:sz="0" w:space="0" w:color="auto"/>
        <w:bottom w:val="none" w:sz="0" w:space="0" w:color="auto"/>
        <w:right w:val="none" w:sz="0" w:space="0" w:color="auto"/>
      </w:divBdr>
    </w:div>
    <w:div w:id="637489562">
      <w:bodyDiv w:val="1"/>
      <w:marLeft w:val="0"/>
      <w:marRight w:val="0"/>
      <w:marTop w:val="0"/>
      <w:marBottom w:val="0"/>
      <w:divBdr>
        <w:top w:val="none" w:sz="0" w:space="0" w:color="auto"/>
        <w:left w:val="none" w:sz="0" w:space="0" w:color="auto"/>
        <w:bottom w:val="none" w:sz="0" w:space="0" w:color="auto"/>
        <w:right w:val="none" w:sz="0" w:space="0" w:color="auto"/>
      </w:divBdr>
    </w:div>
    <w:div w:id="688213595">
      <w:bodyDiv w:val="1"/>
      <w:marLeft w:val="0"/>
      <w:marRight w:val="0"/>
      <w:marTop w:val="0"/>
      <w:marBottom w:val="0"/>
      <w:divBdr>
        <w:top w:val="none" w:sz="0" w:space="0" w:color="auto"/>
        <w:left w:val="none" w:sz="0" w:space="0" w:color="auto"/>
        <w:bottom w:val="none" w:sz="0" w:space="0" w:color="auto"/>
        <w:right w:val="none" w:sz="0" w:space="0" w:color="auto"/>
      </w:divBdr>
    </w:div>
    <w:div w:id="1222868584">
      <w:bodyDiv w:val="1"/>
      <w:marLeft w:val="0"/>
      <w:marRight w:val="0"/>
      <w:marTop w:val="0"/>
      <w:marBottom w:val="0"/>
      <w:divBdr>
        <w:top w:val="none" w:sz="0" w:space="0" w:color="auto"/>
        <w:left w:val="none" w:sz="0" w:space="0" w:color="auto"/>
        <w:bottom w:val="none" w:sz="0" w:space="0" w:color="auto"/>
        <w:right w:val="none" w:sz="0" w:space="0" w:color="auto"/>
      </w:divBdr>
    </w:div>
    <w:div w:id="1335887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951</Words>
  <Characters>5421</Characters>
  <Application>Microsoft Macintosh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NJ Transit</Company>
  <LinksUpToDate>false</LinksUpToDate>
  <CharactersWithSpaces>6360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Daley</dc:creator>
  <cp:lastModifiedBy>Joseph Canova</cp:lastModifiedBy>
  <cp:revision>3</cp:revision>
  <cp:lastPrinted>2017-02-03T03:02:00Z</cp:lastPrinted>
  <dcterms:created xsi:type="dcterms:W3CDTF">2017-02-03T03:20:00Z</dcterms:created>
  <dcterms:modified xsi:type="dcterms:W3CDTF">2017-02-03T03:26:00Z</dcterms:modified>
</cp:coreProperties>
</file>